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D5FE" w14:textId="34D9EB20" w:rsidR="00CC555F" w:rsidRPr="004C70C4" w:rsidRDefault="00E97D31" w:rsidP="00E97D31">
      <w:pPr>
        <w:pStyle w:val="Default"/>
        <w:spacing w:before="120" w:after="120"/>
        <w:jc w:val="center"/>
        <w:rPr>
          <w:rFonts w:ascii="Arial" w:hAnsi="Arial" w:cs="Arial"/>
          <w:b/>
          <w:bCs/>
          <w:i/>
          <w:iCs/>
        </w:rPr>
      </w:pPr>
      <w:r w:rsidRPr="004C70C4">
        <w:rPr>
          <w:rFonts w:ascii="Arial" w:hAnsi="Arial" w:cs="Arial"/>
          <w:b/>
          <w:bCs/>
        </w:rPr>
        <w:t xml:space="preserve">Local Lettings Plan </w:t>
      </w:r>
      <w:r w:rsidR="00091AAB" w:rsidRPr="004C70C4">
        <w:rPr>
          <w:rFonts w:ascii="Arial" w:hAnsi="Arial" w:cs="Arial"/>
          <w:b/>
          <w:bCs/>
        </w:rPr>
        <w:t xml:space="preserve">(LLP) </w:t>
      </w:r>
      <w:r w:rsidRPr="004C70C4">
        <w:rPr>
          <w:rFonts w:ascii="Arial" w:hAnsi="Arial" w:cs="Arial"/>
          <w:b/>
          <w:bCs/>
        </w:rPr>
        <w:t xml:space="preserve">– </w:t>
      </w:r>
      <w:proofErr w:type="spellStart"/>
      <w:r w:rsidR="00B01BE0">
        <w:rPr>
          <w:rFonts w:ascii="Arial" w:hAnsi="Arial" w:cs="Arial"/>
          <w:b/>
          <w:bCs/>
          <w:i/>
          <w:iCs/>
        </w:rPr>
        <w:t>Watnall</w:t>
      </w:r>
      <w:proofErr w:type="spellEnd"/>
      <w:r w:rsidR="00B01BE0">
        <w:rPr>
          <w:rFonts w:ascii="Arial" w:hAnsi="Arial" w:cs="Arial"/>
          <w:b/>
          <w:bCs/>
          <w:i/>
          <w:iCs/>
        </w:rPr>
        <w:t xml:space="preserve"> Road, </w:t>
      </w:r>
      <w:r w:rsidR="00667A72">
        <w:rPr>
          <w:rFonts w:ascii="Arial" w:hAnsi="Arial" w:cs="Arial"/>
          <w:b/>
          <w:bCs/>
          <w:i/>
          <w:iCs/>
        </w:rPr>
        <w:t xml:space="preserve">Hucknall, </w:t>
      </w:r>
      <w:r w:rsidR="00B01BE0">
        <w:rPr>
          <w:rFonts w:ascii="Arial" w:hAnsi="Arial" w:cs="Arial"/>
          <w:b/>
          <w:bCs/>
          <w:i/>
          <w:iCs/>
        </w:rPr>
        <w:t>Ashfield</w:t>
      </w:r>
    </w:p>
    <w:p w14:paraId="4D71DFC8" w14:textId="3AE167C9" w:rsidR="006D1071" w:rsidRPr="004C70C4" w:rsidRDefault="006D1071" w:rsidP="006D1071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  <w:r w:rsidRPr="004C70C4">
        <w:rPr>
          <w:rFonts w:ascii="Arial" w:hAnsi="Arial" w:cs="Arial"/>
          <w:sz w:val="22"/>
          <w:szCs w:val="22"/>
        </w:rPr>
        <w:t xml:space="preserve">This plan is agreed </w:t>
      </w:r>
      <w:r w:rsidR="00F71EA7" w:rsidRPr="004C70C4">
        <w:rPr>
          <w:rFonts w:ascii="Arial" w:hAnsi="Arial" w:cs="Arial"/>
          <w:sz w:val="22"/>
          <w:szCs w:val="22"/>
        </w:rPr>
        <w:t xml:space="preserve">by Metropolitan Thames Valley </w:t>
      </w:r>
      <w:r w:rsidR="00667A72">
        <w:rPr>
          <w:rFonts w:ascii="Arial" w:hAnsi="Arial" w:cs="Arial"/>
          <w:sz w:val="22"/>
          <w:szCs w:val="22"/>
        </w:rPr>
        <w:t xml:space="preserve">Housing Association </w:t>
      </w:r>
      <w:r w:rsidR="00F71EA7" w:rsidRPr="004C70C4">
        <w:rPr>
          <w:rFonts w:ascii="Arial" w:hAnsi="Arial" w:cs="Arial"/>
          <w:sz w:val="22"/>
          <w:szCs w:val="22"/>
        </w:rPr>
        <w:t xml:space="preserve">(MTVH) and </w:t>
      </w:r>
      <w:r w:rsidR="00667A72" w:rsidRPr="00667A72">
        <w:rPr>
          <w:rFonts w:ascii="Arial" w:hAnsi="Arial" w:cs="Arial"/>
          <w:sz w:val="22"/>
          <w:szCs w:val="22"/>
        </w:rPr>
        <w:t>Ashfield District Council</w:t>
      </w:r>
      <w:r w:rsidR="00A930F8">
        <w:rPr>
          <w:rFonts w:ascii="Arial" w:hAnsi="Arial" w:cs="Arial"/>
          <w:i/>
          <w:iCs/>
          <w:sz w:val="22"/>
          <w:szCs w:val="22"/>
        </w:rPr>
        <w:t xml:space="preserve">, </w:t>
      </w:r>
      <w:r w:rsidR="00363C55" w:rsidRPr="004C70C4">
        <w:rPr>
          <w:rFonts w:ascii="Arial" w:hAnsi="Arial" w:cs="Arial"/>
          <w:sz w:val="22"/>
          <w:szCs w:val="22"/>
        </w:rPr>
        <w:t xml:space="preserve">and is to apply to the lettings of </w:t>
      </w:r>
      <w:r w:rsidR="00667A72">
        <w:rPr>
          <w:rFonts w:ascii="Arial" w:hAnsi="Arial" w:cs="Arial"/>
          <w:sz w:val="22"/>
          <w:szCs w:val="22"/>
        </w:rPr>
        <w:t>all</w:t>
      </w:r>
      <w:r w:rsidR="00363C55" w:rsidRPr="004C70C4">
        <w:rPr>
          <w:rFonts w:ascii="Arial" w:hAnsi="Arial" w:cs="Arial"/>
          <w:sz w:val="22"/>
          <w:szCs w:val="22"/>
        </w:rPr>
        <w:t xml:space="preserve"> affordable rented dwellings at the development known as </w:t>
      </w:r>
      <w:proofErr w:type="spellStart"/>
      <w:r w:rsidR="00667A72" w:rsidRPr="00667A72">
        <w:rPr>
          <w:rFonts w:ascii="Arial" w:hAnsi="Arial" w:cs="Arial"/>
          <w:sz w:val="22"/>
          <w:szCs w:val="22"/>
        </w:rPr>
        <w:t>Watnall</w:t>
      </w:r>
      <w:proofErr w:type="spellEnd"/>
      <w:r w:rsidR="00667A72" w:rsidRPr="00667A72">
        <w:rPr>
          <w:rFonts w:ascii="Arial" w:hAnsi="Arial" w:cs="Arial"/>
          <w:sz w:val="22"/>
          <w:szCs w:val="22"/>
        </w:rPr>
        <w:t xml:space="preserve"> Road</w:t>
      </w:r>
      <w:r w:rsidR="00667A72">
        <w:rPr>
          <w:rFonts w:ascii="Arial" w:hAnsi="Arial" w:cs="Arial"/>
          <w:sz w:val="22"/>
          <w:szCs w:val="22"/>
        </w:rPr>
        <w:t>, Hucknall.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97D31" w14:paraId="5B5064C9" w14:textId="77777777" w:rsidTr="6F561DEF">
        <w:tc>
          <w:tcPr>
            <w:tcW w:w="2122" w:type="dxa"/>
          </w:tcPr>
          <w:p w14:paraId="72BA7F96" w14:textId="77777777" w:rsidR="00E97D31" w:rsidRPr="00CE30C9" w:rsidRDefault="00E97D31" w:rsidP="008D135B">
            <w:pPr>
              <w:rPr>
                <w:rFonts w:ascii="Arial" w:hAnsi="Arial" w:cs="Arial"/>
                <w:sz w:val="20"/>
                <w:szCs w:val="20"/>
              </w:rPr>
            </w:pPr>
            <w:r w:rsidRPr="00CE30C9">
              <w:rPr>
                <w:rFonts w:ascii="Arial" w:hAnsi="Arial" w:cs="Arial"/>
                <w:sz w:val="20"/>
                <w:szCs w:val="20"/>
              </w:rPr>
              <w:t>Landlord</w:t>
            </w:r>
          </w:p>
        </w:tc>
        <w:tc>
          <w:tcPr>
            <w:tcW w:w="6894" w:type="dxa"/>
          </w:tcPr>
          <w:p w14:paraId="77BDA110" w14:textId="146CBBE2" w:rsidR="00E97D31" w:rsidRDefault="00E97D31" w:rsidP="008D135B">
            <w:pPr>
              <w:rPr>
                <w:rFonts w:ascii="Arial" w:hAnsi="Arial" w:cs="Arial"/>
                <w:sz w:val="20"/>
                <w:szCs w:val="20"/>
              </w:rPr>
            </w:pPr>
            <w:r w:rsidRPr="00CE30C9">
              <w:rPr>
                <w:rFonts w:ascii="Arial" w:hAnsi="Arial" w:cs="Arial"/>
                <w:sz w:val="20"/>
                <w:szCs w:val="20"/>
              </w:rPr>
              <w:t>Metropolitan Thames Valley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7A72">
              <w:rPr>
                <w:rFonts w:ascii="Arial" w:hAnsi="Arial" w:cs="Arial"/>
                <w:sz w:val="20"/>
                <w:szCs w:val="20"/>
              </w:rPr>
              <w:t xml:space="preserve">Housing Association </w:t>
            </w:r>
            <w:r w:rsidR="004C70C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MTVH</w:t>
            </w:r>
            <w:r w:rsidR="004C70C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0D8E184" w14:textId="77777777" w:rsidR="00E97D31" w:rsidRPr="00CE30C9" w:rsidRDefault="00E97D31" w:rsidP="008D135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97D31" w14:paraId="621E4CC4" w14:textId="77777777" w:rsidTr="0096586A">
        <w:trPr>
          <w:trHeight w:val="525"/>
        </w:trPr>
        <w:tc>
          <w:tcPr>
            <w:tcW w:w="2122" w:type="dxa"/>
          </w:tcPr>
          <w:p w14:paraId="36375913" w14:textId="77777777" w:rsidR="00E97D31" w:rsidRPr="00CE30C9" w:rsidRDefault="00E97D31" w:rsidP="008D135B">
            <w:pPr>
              <w:rPr>
                <w:rFonts w:ascii="Arial" w:hAnsi="Arial" w:cs="Arial"/>
                <w:sz w:val="20"/>
                <w:szCs w:val="20"/>
              </w:rPr>
            </w:pPr>
            <w:r w:rsidRPr="00CE30C9">
              <w:rPr>
                <w:rFonts w:ascii="Arial" w:hAnsi="Arial" w:cs="Arial"/>
                <w:sz w:val="20"/>
                <w:szCs w:val="20"/>
              </w:rPr>
              <w:t>Development</w:t>
            </w:r>
          </w:p>
          <w:p w14:paraId="15F7BDCA" w14:textId="77777777" w:rsidR="00E97D31" w:rsidRPr="00CE30C9" w:rsidRDefault="00E97D31" w:rsidP="008D1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"/>
              <w:gridCol w:w="66"/>
              <w:gridCol w:w="2962"/>
              <w:gridCol w:w="66"/>
              <w:gridCol w:w="81"/>
            </w:tblGrid>
            <w:tr w:rsidR="00E97D31" w:rsidRPr="00CE30C9" w14:paraId="770AC95E" w14:textId="77777777" w:rsidTr="008D135B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22C79EB" w14:textId="77777777" w:rsidR="00E97D31" w:rsidRPr="00CE30C9" w:rsidRDefault="00E97D31" w:rsidP="006D107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F4E0BD6" w14:textId="77777777" w:rsidR="00E97D31" w:rsidRPr="00CE30C9" w:rsidRDefault="00E97D31" w:rsidP="008D135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28C498" w14:textId="77777777" w:rsidR="00E97D31" w:rsidRPr="00CE30C9" w:rsidRDefault="00E97D31" w:rsidP="008D135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667A72" w:rsidRPr="00CE30C9" w14:paraId="0FD1BF09" w14:textId="6972FCA0" w:rsidTr="000312F8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3DC064B" w14:textId="77777777" w:rsidR="00667A72" w:rsidRPr="00CE30C9" w:rsidRDefault="00667A72" w:rsidP="00667A7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AEA61DB" w14:textId="77777777" w:rsidR="00667A72" w:rsidRPr="00CE30C9" w:rsidRDefault="00667A72" w:rsidP="00667A7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CB8FD13" w14:textId="77777777" w:rsidR="00667A72" w:rsidRPr="00CE30C9" w:rsidRDefault="00667A72" w:rsidP="00667A7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B526881" w14:textId="60B13464" w:rsidR="00667A72" w:rsidRPr="00CE30C9" w:rsidRDefault="00667A72" w:rsidP="00667A72"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Watnall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Road, </w:t>
                  </w:r>
                  <w:r w:rsidR="00A930F8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Hucknall,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Ashfield</w:t>
                  </w:r>
                </w:p>
              </w:tc>
              <w:tc>
                <w:tcPr>
                  <w:tcW w:w="0" w:type="auto"/>
                  <w:vAlign w:val="center"/>
                </w:tcPr>
                <w:p w14:paraId="238009A9" w14:textId="77777777" w:rsidR="00667A72" w:rsidRPr="00CE30C9" w:rsidRDefault="00667A72" w:rsidP="00667A72"/>
              </w:tc>
              <w:tc>
                <w:tcPr>
                  <w:tcW w:w="0" w:type="auto"/>
                  <w:vAlign w:val="center"/>
                </w:tcPr>
                <w:p w14:paraId="01FF6859" w14:textId="77777777" w:rsidR="00667A72" w:rsidRPr="00CE30C9" w:rsidRDefault="00667A72" w:rsidP="00667A72"/>
              </w:tc>
            </w:tr>
            <w:tr w:rsidR="00667A72" w:rsidRPr="00CE30C9" w14:paraId="3F6885C2" w14:textId="77777777" w:rsidTr="00667A72">
              <w:trPr>
                <w:gridAfter w:val="3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C9A7CEE" w14:textId="32973F1A" w:rsidR="00667A72" w:rsidRPr="00CE30C9" w:rsidRDefault="00667A72" w:rsidP="00667A7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DB7AD4C" w14:textId="77777777" w:rsidR="00667A72" w:rsidRPr="00CE30C9" w:rsidRDefault="00667A72" w:rsidP="00667A7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A8019BF" w14:textId="77777777" w:rsidR="00667A72" w:rsidRPr="00CE30C9" w:rsidRDefault="00667A72" w:rsidP="00667A7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7E0475C" w14:textId="77777777" w:rsidR="00E97D31" w:rsidRPr="00CE30C9" w:rsidRDefault="00E97D31" w:rsidP="008D1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D31" w14:paraId="67E7B392" w14:textId="77777777" w:rsidTr="6F561DEF">
        <w:trPr>
          <w:trHeight w:val="596"/>
        </w:trPr>
        <w:tc>
          <w:tcPr>
            <w:tcW w:w="2122" w:type="dxa"/>
          </w:tcPr>
          <w:p w14:paraId="3F73EBD2" w14:textId="495281B3" w:rsidR="00E97D31" w:rsidRPr="00CE30C9" w:rsidRDefault="005525D7" w:rsidP="008D1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and Property Type</w:t>
            </w:r>
          </w:p>
        </w:tc>
        <w:tc>
          <w:tcPr>
            <w:tcW w:w="6894" w:type="dxa"/>
          </w:tcPr>
          <w:p w14:paraId="671A8260" w14:textId="16E16E5C" w:rsidR="005A77B8" w:rsidRPr="00091AAB" w:rsidRDefault="005525D7" w:rsidP="008D135B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091AAB">
              <w:rPr>
                <w:rFonts w:ascii="Arial" w:hAnsi="Arial" w:cs="Arial"/>
                <w:sz w:val="20"/>
                <w:szCs w:val="20"/>
              </w:rPr>
              <w:t>This plan is to govern the allocation process of</w:t>
            </w:r>
            <w:r w:rsidR="009733CD" w:rsidRPr="00091AAB">
              <w:rPr>
                <w:rFonts w:ascii="Arial" w:hAnsi="Arial" w:cs="Arial"/>
                <w:sz w:val="20"/>
                <w:szCs w:val="20"/>
              </w:rPr>
              <w:t xml:space="preserve"> the social rent properties developed by MTVH</w:t>
            </w:r>
            <w:r w:rsidR="005A77B8" w:rsidRPr="00091AAB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proofErr w:type="spellStart"/>
            <w:r w:rsidR="00930E48">
              <w:rPr>
                <w:rFonts w:ascii="Arial" w:hAnsi="Arial" w:cs="Arial"/>
                <w:sz w:val="20"/>
                <w:szCs w:val="20"/>
              </w:rPr>
              <w:t>Watnall</w:t>
            </w:r>
            <w:proofErr w:type="spellEnd"/>
            <w:r w:rsidR="00930E48">
              <w:rPr>
                <w:rFonts w:ascii="Arial" w:hAnsi="Arial" w:cs="Arial"/>
                <w:sz w:val="20"/>
                <w:szCs w:val="20"/>
              </w:rPr>
              <w:t xml:space="preserve"> Road </w:t>
            </w:r>
            <w:r w:rsidR="005A77B8" w:rsidRPr="00091AAB">
              <w:rPr>
                <w:rFonts w:ascii="Arial" w:hAnsi="Arial" w:cs="Arial"/>
                <w:sz w:val="20"/>
                <w:szCs w:val="20"/>
              </w:rPr>
              <w:t>new development.</w:t>
            </w:r>
            <w:r w:rsidR="00930E48">
              <w:rPr>
                <w:rFonts w:ascii="Arial" w:hAnsi="Arial" w:cs="Arial"/>
                <w:sz w:val="20"/>
                <w:szCs w:val="20"/>
              </w:rPr>
              <w:t xml:space="preserve"> The Scheme comprises 83 general needs affordable rented properties. </w:t>
            </w:r>
          </w:p>
          <w:p w14:paraId="074867E9" w14:textId="76F2B79A" w:rsidR="005A77B8" w:rsidRPr="009F09DE" w:rsidRDefault="009F09DE" w:rsidP="008D135B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social rented properties are a mixture of </w:t>
            </w:r>
            <w:proofErr w:type="gramStart"/>
            <w:r w:rsidR="00930E48">
              <w:rPr>
                <w:rFonts w:ascii="Arial" w:hAnsi="Arial" w:cs="Arial"/>
                <w:sz w:val="20"/>
                <w:szCs w:val="20"/>
              </w:rPr>
              <w:t>2,3 &amp;</w:t>
            </w:r>
            <w:r w:rsidR="0096586A">
              <w:rPr>
                <w:rFonts w:ascii="Arial" w:hAnsi="Arial" w:cs="Arial"/>
                <w:sz w:val="20"/>
                <w:szCs w:val="20"/>
              </w:rPr>
              <w:t>4</w:t>
            </w:r>
            <w:r w:rsidR="00930E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0BC">
              <w:rPr>
                <w:rFonts w:ascii="Arial" w:hAnsi="Arial" w:cs="Arial"/>
                <w:sz w:val="20"/>
                <w:szCs w:val="20"/>
              </w:rPr>
              <w:t>bedroom</w:t>
            </w:r>
            <w:proofErr w:type="gramEnd"/>
            <w:r w:rsidR="00C520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0BC" w:rsidRPr="001259A4">
              <w:rPr>
                <w:rFonts w:ascii="Arial" w:hAnsi="Arial" w:cs="Arial"/>
                <w:i/>
                <w:iCs/>
                <w:sz w:val="20"/>
                <w:szCs w:val="20"/>
              </w:rPr>
              <w:t>houses</w:t>
            </w:r>
            <w:r w:rsidR="00C520BC">
              <w:rPr>
                <w:rFonts w:ascii="Arial" w:hAnsi="Arial" w:cs="Arial"/>
                <w:sz w:val="20"/>
                <w:szCs w:val="20"/>
              </w:rPr>
              <w:t xml:space="preserve">, each ranging in size and maximum occupancy as set out </w:t>
            </w:r>
            <w:r w:rsidR="001259A4">
              <w:rPr>
                <w:rFonts w:ascii="Arial" w:hAnsi="Arial" w:cs="Arial"/>
                <w:sz w:val="20"/>
                <w:szCs w:val="20"/>
              </w:rPr>
              <w:t>below:</w:t>
            </w:r>
          </w:p>
          <w:p w14:paraId="49E2B046" w14:textId="177F2EAA" w:rsidR="00E97D31" w:rsidRPr="001259A4" w:rsidRDefault="00E97D31" w:rsidP="008D135B">
            <w:pPr>
              <w:pStyle w:val="NoSpacing"/>
              <w:rPr>
                <w:i/>
                <w:iCs/>
              </w:rPr>
            </w:pPr>
            <w:r>
              <w:t xml:space="preserve"> </w:t>
            </w:r>
          </w:p>
          <w:p w14:paraId="18913A75" w14:textId="7F18197B" w:rsidR="00E97D31" w:rsidRPr="001259A4" w:rsidRDefault="00930E48" w:rsidP="008D135B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  <w:r w:rsidR="00E97D31" w:rsidRPr="001259A4">
              <w:rPr>
                <w:i/>
                <w:iCs/>
              </w:rPr>
              <w:t xml:space="preserve"> x 2-bedroom, </w:t>
            </w:r>
            <w:r>
              <w:rPr>
                <w:i/>
                <w:iCs/>
              </w:rPr>
              <w:t>4</w:t>
            </w:r>
            <w:r w:rsidR="00E97D31" w:rsidRPr="001259A4">
              <w:rPr>
                <w:i/>
                <w:iCs/>
              </w:rPr>
              <w:t xml:space="preserve"> person </w:t>
            </w:r>
            <w:r>
              <w:rPr>
                <w:i/>
                <w:iCs/>
              </w:rPr>
              <w:t>house</w:t>
            </w:r>
            <w:r w:rsidR="00E97D31" w:rsidRPr="001259A4">
              <w:rPr>
                <w:i/>
                <w:iCs/>
              </w:rPr>
              <w:t xml:space="preserve">s </w:t>
            </w:r>
          </w:p>
          <w:p w14:paraId="167C69DB" w14:textId="5E31C0CD" w:rsidR="00E97D31" w:rsidRDefault="00930E48" w:rsidP="008D135B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="002E6754">
              <w:rPr>
                <w:i/>
                <w:iCs/>
              </w:rPr>
              <w:t>2</w:t>
            </w:r>
            <w:r w:rsidR="00E97D31" w:rsidRPr="001259A4">
              <w:rPr>
                <w:i/>
                <w:iCs/>
              </w:rPr>
              <w:t xml:space="preserve"> x </w:t>
            </w:r>
            <w:r>
              <w:rPr>
                <w:i/>
                <w:iCs/>
              </w:rPr>
              <w:t>3</w:t>
            </w:r>
            <w:r w:rsidR="00E97D31" w:rsidRPr="001259A4">
              <w:rPr>
                <w:i/>
                <w:iCs/>
              </w:rPr>
              <w:t xml:space="preserve">-bedroom, </w:t>
            </w:r>
            <w:proofErr w:type="gramStart"/>
            <w:r w:rsidR="00E97D31" w:rsidRPr="001259A4">
              <w:rPr>
                <w:i/>
                <w:iCs/>
              </w:rPr>
              <w:t>4 person</w:t>
            </w:r>
            <w:proofErr w:type="gramEnd"/>
            <w:r>
              <w:rPr>
                <w:i/>
                <w:iCs/>
              </w:rPr>
              <w:t xml:space="preserve"> houses</w:t>
            </w:r>
          </w:p>
          <w:p w14:paraId="377FBCF4" w14:textId="20328255" w:rsidR="00930E48" w:rsidRPr="001259A4" w:rsidRDefault="002E6754" w:rsidP="008D135B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  <w:r w:rsidR="00930E48">
              <w:rPr>
                <w:i/>
                <w:iCs/>
              </w:rPr>
              <w:t xml:space="preserve"> x </w:t>
            </w:r>
            <w:proofErr w:type="gramStart"/>
            <w:r w:rsidR="00930E48">
              <w:rPr>
                <w:i/>
                <w:iCs/>
              </w:rPr>
              <w:t>3 bedroom</w:t>
            </w:r>
            <w:proofErr w:type="gramEnd"/>
            <w:r w:rsidR="00930E48">
              <w:rPr>
                <w:i/>
                <w:iCs/>
              </w:rPr>
              <w:t>, 5 person houses</w:t>
            </w:r>
          </w:p>
          <w:p w14:paraId="1696F547" w14:textId="1DFB358F" w:rsidR="00E97D31" w:rsidRPr="001259A4" w:rsidRDefault="00930E48" w:rsidP="008D135B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19</w:t>
            </w:r>
            <w:r w:rsidR="00E97D31" w:rsidRPr="001259A4">
              <w:rPr>
                <w:i/>
                <w:iCs/>
              </w:rPr>
              <w:t xml:space="preserve"> x </w:t>
            </w:r>
            <w:r>
              <w:rPr>
                <w:i/>
                <w:iCs/>
              </w:rPr>
              <w:t>4</w:t>
            </w:r>
            <w:r w:rsidR="00E97D31" w:rsidRPr="001259A4">
              <w:rPr>
                <w:i/>
                <w:iCs/>
              </w:rPr>
              <w:t xml:space="preserve">-bedroom, </w:t>
            </w:r>
            <w:r>
              <w:rPr>
                <w:i/>
                <w:iCs/>
              </w:rPr>
              <w:t>6</w:t>
            </w:r>
            <w:r w:rsidR="00E97D31" w:rsidRPr="001259A4">
              <w:rPr>
                <w:i/>
                <w:iCs/>
              </w:rPr>
              <w:t xml:space="preserve"> person</w:t>
            </w:r>
            <w:r>
              <w:rPr>
                <w:i/>
                <w:iCs/>
              </w:rPr>
              <w:t xml:space="preserve"> houses</w:t>
            </w:r>
          </w:p>
          <w:p w14:paraId="384C64EF" w14:textId="77777777" w:rsidR="00E97D31" w:rsidRDefault="00E97D31" w:rsidP="008D135B">
            <w:pPr>
              <w:pStyle w:val="NoSpacing"/>
            </w:pPr>
          </w:p>
          <w:p w14:paraId="65C8EAE1" w14:textId="77777777" w:rsidR="00E97D31" w:rsidRPr="00CE30C9" w:rsidRDefault="00E97D31" w:rsidP="008D135B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D31" w14:paraId="3EBD8658" w14:textId="77777777" w:rsidTr="6F561DEF">
        <w:tc>
          <w:tcPr>
            <w:tcW w:w="2122" w:type="dxa"/>
          </w:tcPr>
          <w:p w14:paraId="3EE0CF37" w14:textId="6CCEF5C9" w:rsidR="00E97D31" w:rsidRPr="00CE30C9" w:rsidRDefault="001259A4" w:rsidP="008D1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Broad </w:t>
            </w:r>
            <w:r w:rsidR="00533237">
              <w:rPr>
                <w:rFonts w:ascii="Arial" w:hAnsi="Arial" w:cs="Arial"/>
                <w:sz w:val="20"/>
                <w:szCs w:val="20"/>
              </w:rPr>
              <w:t>Aim of the Plan</w:t>
            </w:r>
          </w:p>
        </w:tc>
        <w:tc>
          <w:tcPr>
            <w:tcW w:w="6894" w:type="dxa"/>
          </w:tcPr>
          <w:p w14:paraId="62DA16AF" w14:textId="77777777" w:rsidR="009F6C3D" w:rsidRDefault="00533237" w:rsidP="00274A5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primary aim of the LLP is to achieve </w:t>
            </w:r>
            <w:r w:rsidR="003D72DB">
              <w:rPr>
                <w:rFonts w:ascii="Arial" w:hAnsi="Arial" w:cs="Arial"/>
                <w:sz w:val="20"/>
                <w:szCs w:val="20"/>
              </w:rPr>
              <w:t xml:space="preserve">at </w:t>
            </w:r>
            <w:proofErr w:type="gramStart"/>
            <w:r w:rsidR="003D72DB">
              <w:rPr>
                <w:rFonts w:ascii="Arial" w:hAnsi="Arial" w:cs="Arial"/>
                <w:sz w:val="20"/>
                <w:szCs w:val="20"/>
              </w:rPr>
              <w:t>first</w:t>
            </w:r>
            <w:proofErr w:type="gramEnd"/>
            <w:r w:rsidR="003D72DB">
              <w:rPr>
                <w:rFonts w:ascii="Arial" w:hAnsi="Arial" w:cs="Arial"/>
                <w:sz w:val="20"/>
                <w:szCs w:val="20"/>
              </w:rPr>
              <w:t xml:space="preserve"> letting a balanced and sustainable community.</w:t>
            </w:r>
          </w:p>
          <w:p w14:paraId="4614C793" w14:textId="77777777" w:rsidR="00930E48" w:rsidRDefault="00930E48" w:rsidP="008D135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15E300" w14:textId="000C0A19" w:rsidR="00BE1164" w:rsidRDefault="00930E48" w:rsidP="008D135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67A72">
              <w:rPr>
                <w:rFonts w:ascii="Arial" w:eastAsia="Calibri" w:hAnsi="Arial" w:cs="Arial"/>
                <w:sz w:val="20"/>
                <w:szCs w:val="20"/>
              </w:rPr>
              <w:t>Ashfield DC</w:t>
            </w:r>
            <w:r w:rsidR="0059010C" w:rsidRPr="00667A72">
              <w:rPr>
                <w:rFonts w:ascii="Arial" w:eastAsia="Calibri" w:hAnsi="Arial" w:cs="Arial"/>
                <w:sz w:val="20"/>
                <w:szCs w:val="20"/>
              </w:rPr>
              <w:t xml:space="preserve">, through the Homefinder choice-based lettings scheme, </w:t>
            </w:r>
            <w:r w:rsidR="00F962AF" w:rsidRPr="00667A72">
              <w:rPr>
                <w:rFonts w:ascii="Arial" w:eastAsia="Calibri" w:hAnsi="Arial" w:cs="Arial"/>
                <w:sz w:val="20"/>
                <w:szCs w:val="20"/>
              </w:rPr>
              <w:t xml:space="preserve">will be the </w:t>
            </w:r>
            <w:r w:rsidR="0059010C" w:rsidRPr="00667A72">
              <w:rPr>
                <w:rFonts w:ascii="Arial" w:eastAsia="Calibri" w:hAnsi="Arial" w:cs="Arial"/>
                <w:sz w:val="20"/>
                <w:szCs w:val="20"/>
              </w:rPr>
              <w:t>‘</w:t>
            </w:r>
            <w:r w:rsidR="00F962AF" w:rsidRPr="00667A72">
              <w:rPr>
                <w:rFonts w:ascii="Arial" w:eastAsia="Calibri" w:hAnsi="Arial" w:cs="Arial"/>
                <w:sz w:val="20"/>
                <w:szCs w:val="20"/>
              </w:rPr>
              <w:t>nominating</w:t>
            </w:r>
            <w:r w:rsidR="0059010C" w:rsidRPr="00667A72">
              <w:rPr>
                <w:rFonts w:ascii="Arial" w:eastAsia="Calibri" w:hAnsi="Arial" w:cs="Arial"/>
                <w:sz w:val="20"/>
                <w:szCs w:val="20"/>
              </w:rPr>
              <w:t>’</w:t>
            </w:r>
            <w:r w:rsidR="00F962AF" w:rsidRPr="00667A72">
              <w:rPr>
                <w:rFonts w:ascii="Arial" w:eastAsia="Calibri" w:hAnsi="Arial" w:cs="Arial"/>
                <w:sz w:val="20"/>
                <w:szCs w:val="20"/>
              </w:rPr>
              <w:t xml:space="preserve"> partner</w:t>
            </w:r>
            <w:r w:rsidR="00BE1164" w:rsidRPr="00667A72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59010C" w:rsidRPr="00667A72">
              <w:rPr>
                <w:rFonts w:ascii="Arial" w:eastAsia="Calibri" w:hAnsi="Arial" w:cs="Arial"/>
                <w:sz w:val="20"/>
                <w:szCs w:val="20"/>
              </w:rPr>
              <w:t xml:space="preserve"> MTVH will be responsible for advertising and short-listing</w:t>
            </w:r>
            <w:r w:rsidR="00BE1164" w:rsidRPr="00667A7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="00BE1164" w:rsidRPr="00667A72">
              <w:rPr>
                <w:rFonts w:ascii="Arial" w:eastAsia="Calibri" w:hAnsi="Arial" w:cs="Arial"/>
                <w:sz w:val="20"/>
                <w:szCs w:val="20"/>
              </w:rPr>
              <w:t>The</w:t>
            </w:r>
            <w:proofErr w:type="gramEnd"/>
            <w:r w:rsidR="00BE1164" w:rsidRPr="00667A7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BE1164" w:rsidRPr="00667A72">
              <w:rPr>
                <w:rFonts w:ascii="Arial" w:eastAsia="Calibri" w:hAnsi="Arial" w:cs="Arial"/>
                <w:sz w:val="20"/>
                <w:szCs w:val="20"/>
              </w:rPr>
              <w:t>prioritisation</w:t>
            </w:r>
            <w:proofErr w:type="spellEnd"/>
            <w:r w:rsidR="00BE1164" w:rsidRPr="00667A72">
              <w:rPr>
                <w:rFonts w:ascii="Arial" w:eastAsia="Calibri" w:hAnsi="Arial" w:cs="Arial"/>
                <w:sz w:val="20"/>
                <w:szCs w:val="20"/>
              </w:rPr>
              <w:t xml:space="preserve"> o</w:t>
            </w:r>
            <w:r w:rsidR="00DA0CDA" w:rsidRPr="00667A72">
              <w:rPr>
                <w:rFonts w:ascii="Arial" w:eastAsia="Calibri" w:hAnsi="Arial" w:cs="Arial"/>
                <w:sz w:val="20"/>
                <w:szCs w:val="20"/>
              </w:rPr>
              <w:t xml:space="preserve">f households </w:t>
            </w:r>
            <w:r w:rsidR="00DA0CDA">
              <w:rPr>
                <w:rFonts w:ascii="Arial" w:eastAsia="Calibri" w:hAnsi="Arial" w:cs="Arial"/>
                <w:sz w:val="20"/>
                <w:szCs w:val="20"/>
              </w:rPr>
              <w:t xml:space="preserve">bidding for </w:t>
            </w:r>
            <w:r w:rsidR="009C0050">
              <w:rPr>
                <w:rFonts w:ascii="Arial" w:eastAsia="Calibri" w:hAnsi="Arial" w:cs="Arial"/>
                <w:sz w:val="20"/>
                <w:szCs w:val="20"/>
              </w:rPr>
              <w:t>pr</w:t>
            </w:r>
            <w:r w:rsidR="001B5588">
              <w:rPr>
                <w:rFonts w:ascii="Arial" w:eastAsia="Calibri" w:hAnsi="Arial" w:cs="Arial"/>
                <w:sz w:val="20"/>
                <w:szCs w:val="20"/>
              </w:rPr>
              <w:t xml:space="preserve">operties will be governed by the Council’s Allocations Policy </w:t>
            </w:r>
            <w:r w:rsidR="00773D5C">
              <w:rPr>
                <w:rFonts w:ascii="Arial" w:eastAsia="Calibri" w:hAnsi="Arial" w:cs="Arial"/>
                <w:sz w:val="20"/>
                <w:szCs w:val="20"/>
              </w:rPr>
              <w:t>and the specific requirements of the LLP set out in this document.</w:t>
            </w:r>
          </w:p>
          <w:p w14:paraId="2AB76665" w14:textId="77777777" w:rsidR="008944DD" w:rsidRDefault="008944DD" w:rsidP="008D135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0742DD" w14:textId="29964E87" w:rsidR="008944DD" w:rsidRDefault="008944DD" w:rsidP="008D135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All vacancies of affordable rented accommodation on the development will be let under the terms of this LLP and households will be required to meet </w:t>
            </w:r>
            <w:r w:rsidR="00115265">
              <w:rPr>
                <w:rFonts w:ascii="Arial" w:eastAsia="Calibri" w:hAnsi="Arial" w:cs="Arial"/>
                <w:sz w:val="20"/>
                <w:szCs w:val="20"/>
              </w:rPr>
              <w:t xml:space="preserve">certain selection criteria </w:t>
            </w:r>
            <w:proofErr w:type="gramStart"/>
            <w:r w:rsidR="00115265">
              <w:rPr>
                <w:rFonts w:ascii="Arial" w:eastAsia="Calibri" w:hAnsi="Arial" w:cs="Arial"/>
                <w:sz w:val="20"/>
                <w:szCs w:val="20"/>
              </w:rPr>
              <w:t>in order to</w:t>
            </w:r>
            <w:proofErr w:type="gramEnd"/>
            <w:r w:rsidR="00115265">
              <w:rPr>
                <w:rFonts w:ascii="Arial" w:eastAsia="Calibri" w:hAnsi="Arial" w:cs="Arial"/>
                <w:sz w:val="20"/>
                <w:szCs w:val="20"/>
              </w:rPr>
              <w:t xml:space="preserve"> help establish a viable mixed household </w:t>
            </w:r>
            <w:r w:rsidR="00CC38DB">
              <w:rPr>
                <w:rFonts w:ascii="Arial" w:eastAsia="Calibri" w:hAnsi="Arial" w:cs="Arial"/>
                <w:sz w:val="20"/>
                <w:szCs w:val="20"/>
              </w:rPr>
              <w:t>community.</w:t>
            </w:r>
          </w:p>
          <w:p w14:paraId="50AE38EE" w14:textId="77777777" w:rsidR="00BE1164" w:rsidRDefault="00BE1164" w:rsidP="008D135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274637" w14:textId="77777777" w:rsidR="00E97D31" w:rsidRPr="00CE30C9" w:rsidRDefault="00E97D31" w:rsidP="008B1EE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EE7" w14:paraId="7D949347" w14:textId="77777777" w:rsidTr="6F561DEF">
        <w:tc>
          <w:tcPr>
            <w:tcW w:w="2122" w:type="dxa"/>
          </w:tcPr>
          <w:p w14:paraId="4EE551F3" w14:textId="2FE7A82B" w:rsidR="008B1EE7" w:rsidRPr="00CE30C9" w:rsidRDefault="00471C71" w:rsidP="008D1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Allocation Criteria</w:t>
            </w:r>
          </w:p>
        </w:tc>
        <w:tc>
          <w:tcPr>
            <w:tcW w:w="6894" w:type="dxa"/>
          </w:tcPr>
          <w:p w14:paraId="59AF7192" w14:textId="77B81CC5" w:rsidR="00560879" w:rsidRDefault="00471C71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following paragraphs </w:t>
            </w:r>
            <w:r w:rsidR="006F4940">
              <w:rPr>
                <w:rFonts w:ascii="Arial" w:hAnsi="Arial" w:cs="Arial"/>
                <w:sz w:val="20"/>
                <w:szCs w:val="20"/>
              </w:rPr>
              <w:t xml:space="preserve">describe the selection criteria to be </w:t>
            </w:r>
            <w:r w:rsidR="008C0376">
              <w:rPr>
                <w:rFonts w:ascii="Arial" w:hAnsi="Arial" w:cs="Arial"/>
                <w:sz w:val="20"/>
                <w:szCs w:val="20"/>
              </w:rPr>
              <w:t>considered</w:t>
            </w:r>
            <w:r w:rsidR="006F4940">
              <w:rPr>
                <w:rFonts w:ascii="Arial" w:hAnsi="Arial" w:cs="Arial"/>
                <w:sz w:val="20"/>
                <w:szCs w:val="20"/>
              </w:rPr>
              <w:t xml:space="preserve"> in determining </w:t>
            </w:r>
            <w:r w:rsidR="00560879">
              <w:rPr>
                <w:rFonts w:ascii="Arial" w:hAnsi="Arial" w:cs="Arial"/>
                <w:sz w:val="20"/>
                <w:szCs w:val="20"/>
              </w:rPr>
              <w:t>how to advertise and whether to bypass a household under the Council’s Allocations Policy, as they do not fulfil the agreed LLP criteria.</w:t>
            </w:r>
          </w:p>
          <w:p w14:paraId="5E4CF7A4" w14:textId="77777777" w:rsidR="00560879" w:rsidRDefault="00560879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3679EFB" w14:textId="77777777" w:rsidR="00560879" w:rsidRDefault="00560879" w:rsidP="008D135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Breaches of Tenancy Agreement</w:t>
            </w:r>
          </w:p>
          <w:p w14:paraId="2BDE7E4A" w14:textId="3764D29A" w:rsidR="00560879" w:rsidRDefault="00930E48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7A72">
              <w:rPr>
                <w:rFonts w:ascii="Arial" w:hAnsi="Arial" w:cs="Arial"/>
                <w:sz w:val="20"/>
                <w:szCs w:val="20"/>
              </w:rPr>
              <w:t>Ashfield DC</w:t>
            </w:r>
            <w:r w:rsidR="00A01B6A" w:rsidRPr="00667A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2C62" w:rsidRPr="00667A72">
              <w:rPr>
                <w:rFonts w:ascii="Arial" w:hAnsi="Arial" w:cs="Arial"/>
                <w:sz w:val="20"/>
                <w:szCs w:val="20"/>
              </w:rPr>
              <w:t xml:space="preserve">will agree to permit MTVH to bypass applicants who have bid for a property </w:t>
            </w:r>
            <w:r w:rsidR="008E2667" w:rsidRPr="00667A72">
              <w:rPr>
                <w:rFonts w:ascii="Arial" w:hAnsi="Arial" w:cs="Arial"/>
                <w:sz w:val="20"/>
                <w:szCs w:val="20"/>
              </w:rPr>
              <w:t xml:space="preserve">if they are currently involved in antisocial </w:t>
            </w:r>
            <w:proofErr w:type="spellStart"/>
            <w:r w:rsidR="008E2667" w:rsidRPr="00667A72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="00667A72">
              <w:rPr>
                <w:rFonts w:ascii="Arial" w:hAnsi="Arial" w:cs="Arial"/>
                <w:sz w:val="20"/>
                <w:szCs w:val="20"/>
              </w:rPr>
              <w:t xml:space="preserve">, where action is being taken for </w:t>
            </w:r>
            <w:r w:rsidR="00DC2C62" w:rsidRPr="00667A72">
              <w:rPr>
                <w:rFonts w:ascii="Arial" w:hAnsi="Arial" w:cs="Arial"/>
                <w:sz w:val="20"/>
                <w:szCs w:val="20"/>
              </w:rPr>
              <w:t xml:space="preserve">breach of tenancy, or </w:t>
            </w:r>
            <w:r w:rsidR="00F6360E" w:rsidRPr="00667A72">
              <w:rPr>
                <w:rFonts w:ascii="Arial" w:hAnsi="Arial" w:cs="Arial"/>
                <w:sz w:val="20"/>
                <w:szCs w:val="20"/>
              </w:rPr>
              <w:t>who currently or have a recent history of criminal activity as relevant to housing.</w:t>
            </w:r>
            <w:r w:rsidR="00DC2C62" w:rsidRPr="00667A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360E" w:rsidRPr="00667A72">
              <w:rPr>
                <w:rFonts w:ascii="Arial" w:hAnsi="Arial" w:cs="Arial"/>
                <w:sz w:val="20"/>
                <w:szCs w:val="20"/>
              </w:rPr>
              <w:t xml:space="preserve">This will include </w:t>
            </w:r>
            <w:r w:rsidR="00503018" w:rsidRPr="00667A72">
              <w:rPr>
                <w:rFonts w:ascii="Arial" w:hAnsi="Arial" w:cs="Arial"/>
                <w:sz w:val="20"/>
                <w:szCs w:val="20"/>
              </w:rPr>
              <w:t xml:space="preserve">but is not restricted to activity relating to drugs including dealing. This will </w:t>
            </w:r>
            <w:r w:rsidR="00503018">
              <w:rPr>
                <w:rFonts w:ascii="Arial" w:hAnsi="Arial" w:cs="Arial"/>
                <w:sz w:val="20"/>
                <w:szCs w:val="20"/>
              </w:rPr>
              <w:t>also apply where a Notice of Seeking Posse</w:t>
            </w:r>
            <w:r w:rsidR="008857F2">
              <w:rPr>
                <w:rFonts w:ascii="Arial" w:hAnsi="Arial" w:cs="Arial"/>
                <w:sz w:val="20"/>
                <w:szCs w:val="20"/>
              </w:rPr>
              <w:t>ssion (</w:t>
            </w:r>
            <w:proofErr w:type="spellStart"/>
            <w:r w:rsidR="008857F2">
              <w:rPr>
                <w:rFonts w:ascii="Arial" w:hAnsi="Arial" w:cs="Arial"/>
                <w:sz w:val="20"/>
                <w:szCs w:val="20"/>
              </w:rPr>
              <w:t>NoSP</w:t>
            </w:r>
            <w:proofErr w:type="spellEnd"/>
            <w:r w:rsidR="008857F2">
              <w:rPr>
                <w:rFonts w:ascii="Arial" w:hAnsi="Arial" w:cs="Arial"/>
                <w:sz w:val="20"/>
                <w:szCs w:val="20"/>
              </w:rPr>
              <w:t xml:space="preserve">) has been served against them on the above grounds other than where this is </w:t>
            </w:r>
            <w:r w:rsidR="00E139DB">
              <w:rPr>
                <w:rFonts w:ascii="Arial" w:hAnsi="Arial" w:cs="Arial"/>
                <w:sz w:val="20"/>
                <w:szCs w:val="20"/>
              </w:rPr>
              <w:t>historic</w:t>
            </w:r>
            <w:r w:rsidR="008857F2">
              <w:rPr>
                <w:rFonts w:ascii="Arial" w:hAnsi="Arial" w:cs="Arial"/>
                <w:sz w:val="20"/>
                <w:szCs w:val="20"/>
              </w:rPr>
              <w:t xml:space="preserve"> and a </w:t>
            </w:r>
            <w:r w:rsidR="008857F2">
              <w:rPr>
                <w:rFonts w:ascii="Arial" w:hAnsi="Arial" w:cs="Arial"/>
                <w:sz w:val="20"/>
                <w:szCs w:val="20"/>
              </w:rPr>
              <w:lastRenderedPageBreak/>
              <w:t xml:space="preserve">change in </w:t>
            </w:r>
            <w:r w:rsidR="00E139DB">
              <w:rPr>
                <w:rFonts w:ascii="Arial" w:hAnsi="Arial" w:cs="Arial"/>
                <w:sz w:val="20"/>
                <w:szCs w:val="20"/>
              </w:rPr>
              <w:t>lifestyle of the applicant has been achieved and evidenced.</w:t>
            </w:r>
            <w:r w:rsidR="0050691D">
              <w:rPr>
                <w:rFonts w:ascii="Arial" w:hAnsi="Arial" w:cs="Arial"/>
                <w:sz w:val="20"/>
                <w:szCs w:val="20"/>
              </w:rPr>
              <w:t xml:space="preserve"> If this type of case is </w:t>
            </w:r>
            <w:r w:rsidR="00391DE6">
              <w:rPr>
                <w:rFonts w:ascii="Arial" w:hAnsi="Arial" w:cs="Arial"/>
                <w:sz w:val="20"/>
                <w:szCs w:val="20"/>
              </w:rPr>
              <w:t>identified,</w:t>
            </w:r>
            <w:r w:rsidR="0050691D">
              <w:rPr>
                <w:rFonts w:ascii="Arial" w:hAnsi="Arial" w:cs="Arial"/>
                <w:sz w:val="20"/>
                <w:szCs w:val="20"/>
              </w:rPr>
              <w:t xml:space="preserve"> they will normally be bypassed when shortlisting. </w:t>
            </w:r>
          </w:p>
          <w:p w14:paraId="34DBC3C8" w14:textId="77777777" w:rsidR="00163368" w:rsidRDefault="00163368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85C99E" w14:textId="1A4AFEA5" w:rsidR="00CC1054" w:rsidRPr="00163368" w:rsidRDefault="00CC1054" w:rsidP="00930E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D31" w14:paraId="2AF6DF79" w14:textId="77777777" w:rsidTr="6F561DEF">
        <w:tc>
          <w:tcPr>
            <w:tcW w:w="2122" w:type="dxa"/>
          </w:tcPr>
          <w:p w14:paraId="07D7BA0F" w14:textId="04CEB19B" w:rsidR="00E97D31" w:rsidRPr="00CE30C9" w:rsidRDefault="004361CD" w:rsidP="008D13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Approach</w:t>
            </w:r>
          </w:p>
        </w:tc>
        <w:tc>
          <w:tcPr>
            <w:tcW w:w="6894" w:type="dxa"/>
          </w:tcPr>
          <w:p w14:paraId="7A098DFD" w14:textId="56992FA9" w:rsidR="00E97D31" w:rsidRDefault="00943A35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achieve a viable mixed tenure development, other criteria, and rationale will also be used to allocate properties under this pla</w:t>
            </w:r>
            <w:r w:rsidR="00A231F9">
              <w:rPr>
                <w:rFonts w:ascii="Arial" w:hAnsi="Arial" w:cs="Arial"/>
                <w:sz w:val="20"/>
                <w:szCs w:val="20"/>
              </w:rPr>
              <w:t>n as set out below:</w:t>
            </w:r>
          </w:p>
          <w:p w14:paraId="100C72F1" w14:textId="77777777" w:rsidR="00A231F9" w:rsidRDefault="00A231F9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3ED1FA3" w14:textId="319FAA16" w:rsidR="00A231F9" w:rsidRDefault="00A231F9" w:rsidP="008D135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Child Density</w:t>
            </w:r>
          </w:p>
          <w:p w14:paraId="402254CF" w14:textId="0B059D69" w:rsidR="004361CD" w:rsidRDefault="0024230E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Some properties may be under-occupied against their relative potential occupancy</w:t>
            </w:r>
            <w:r w:rsidR="000E07A4">
              <w:rPr>
                <w:rFonts w:ascii="Arial" w:hAnsi="Arial" w:cs="Arial"/>
                <w:sz w:val="20"/>
                <w:szCs w:val="20"/>
              </w:rPr>
              <w:t xml:space="preserve">. For example, where properties are </w:t>
            </w:r>
            <w:proofErr w:type="gramStart"/>
            <w:r w:rsidR="000E07A4">
              <w:rPr>
                <w:rFonts w:ascii="Arial" w:hAnsi="Arial" w:cs="Arial"/>
                <w:sz w:val="20"/>
                <w:szCs w:val="20"/>
              </w:rPr>
              <w:t>2 bedroom</w:t>
            </w:r>
            <w:proofErr w:type="gramEnd"/>
            <w:r w:rsidR="00667A72">
              <w:rPr>
                <w:rFonts w:ascii="Arial" w:hAnsi="Arial" w:cs="Arial"/>
                <w:sz w:val="20"/>
                <w:szCs w:val="20"/>
              </w:rPr>
              <w:t>,</w:t>
            </w:r>
            <w:r w:rsidR="000E07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E07A4">
              <w:rPr>
                <w:rFonts w:ascii="Arial" w:hAnsi="Arial" w:cs="Arial"/>
                <w:sz w:val="20"/>
                <w:szCs w:val="20"/>
              </w:rPr>
              <w:t>4 person</w:t>
            </w:r>
            <w:proofErr w:type="gramEnd"/>
            <w:r w:rsidR="000E07A4">
              <w:rPr>
                <w:rFonts w:ascii="Arial" w:hAnsi="Arial" w:cs="Arial"/>
                <w:sz w:val="20"/>
                <w:szCs w:val="20"/>
              </w:rPr>
              <w:t xml:space="preserve"> bed space</w:t>
            </w:r>
            <w:r w:rsidR="007E5B69">
              <w:rPr>
                <w:rFonts w:ascii="Arial" w:hAnsi="Arial" w:cs="Arial"/>
                <w:sz w:val="20"/>
                <w:szCs w:val="20"/>
              </w:rPr>
              <w:t xml:space="preserve">, they may be allocated to successful households under the Council’s Allocation’s Policy to households requiring </w:t>
            </w:r>
            <w:proofErr w:type="gramStart"/>
            <w:r w:rsidR="00A816BE">
              <w:rPr>
                <w:rFonts w:ascii="Arial" w:hAnsi="Arial" w:cs="Arial"/>
                <w:sz w:val="20"/>
                <w:szCs w:val="20"/>
              </w:rPr>
              <w:t>2 bedroom</w:t>
            </w:r>
            <w:proofErr w:type="gramEnd"/>
            <w:r w:rsidR="00A816BE">
              <w:rPr>
                <w:rFonts w:ascii="Arial" w:hAnsi="Arial" w:cs="Arial"/>
                <w:sz w:val="20"/>
                <w:szCs w:val="20"/>
              </w:rPr>
              <w:t xml:space="preserve"> accommodation but are a 2 or 3 bed space household</w:t>
            </w:r>
            <w:r w:rsidR="00124AEC">
              <w:rPr>
                <w:rFonts w:ascii="Arial" w:hAnsi="Arial" w:cs="Arial"/>
                <w:sz w:val="20"/>
                <w:szCs w:val="20"/>
              </w:rPr>
              <w:t xml:space="preserve"> e.g. 1 adult and 1 child requiring separate bedrooms.</w:t>
            </w:r>
          </w:p>
          <w:p w14:paraId="79574C8C" w14:textId="77777777" w:rsidR="00124AEC" w:rsidRDefault="00124AEC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6500F0F" w14:textId="77777777" w:rsidR="007262FC" w:rsidRDefault="00124AEC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properties are advertised</w:t>
            </w:r>
            <w:r w:rsidR="00535CF5">
              <w:rPr>
                <w:rFonts w:ascii="Arial" w:hAnsi="Arial" w:cs="Arial"/>
                <w:sz w:val="20"/>
                <w:szCs w:val="20"/>
              </w:rPr>
              <w:t xml:space="preserve"> it should be stated if there is a double or single bedroom and this information will be provided by MTVH to the Council to enable </w:t>
            </w:r>
            <w:r w:rsidR="007262FC">
              <w:rPr>
                <w:rFonts w:ascii="Arial" w:hAnsi="Arial" w:cs="Arial"/>
                <w:sz w:val="20"/>
                <w:szCs w:val="20"/>
              </w:rPr>
              <w:t>appropriate advertising and nomination.</w:t>
            </w:r>
          </w:p>
          <w:p w14:paraId="0C5E79E6" w14:textId="77777777" w:rsidR="007262FC" w:rsidRDefault="007262FC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E6DA1B8" w14:textId="77777777" w:rsidR="007262FC" w:rsidRDefault="007262FC" w:rsidP="008D135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High Support Needs</w:t>
            </w:r>
          </w:p>
          <w:p w14:paraId="5A15A27F" w14:textId="77777777" w:rsidR="007C5863" w:rsidRDefault="007C5863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75522DB" w14:textId="10A68D26" w:rsidR="007C5863" w:rsidRPr="00667A72" w:rsidRDefault="007C5863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From a </w:t>
            </w:r>
            <w:r w:rsidR="008C7541">
              <w:rPr>
                <w:rFonts w:ascii="Arial" w:hAnsi="Arial" w:cs="Arial"/>
                <w:sz w:val="20"/>
                <w:szCs w:val="20"/>
              </w:rPr>
              <w:t>housing management viewpoint and in consider</w:t>
            </w:r>
            <w:r w:rsidR="00B02638">
              <w:rPr>
                <w:rFonts w:ascii="Arial" w:hAnsi="Arial" w:cs="Arial"/>
                <w:sz w:val="20"/>
                <w:szCs w:val="20"/>
              </w:rPr>
              <w:t xml:space="preserve">ation of creating sustainable communities, the number of households who </w:t>
            </w:r>
            <w:proofErr w:type="gramStart"/>
            <w:r w:rsidR="0059010C">
              <w:rPr>
                <w:rFonts w:ascii="Arial" w:hAnsi="Arial" w:cs="Arial"/>
                <w:sz w:val="20"/>
                <w:szCs w:val="20"/>
              </w:rPr>
              <w:t>ongoing</w:t>
            </w:r>
            <w:proofErr w:type="gramEnd"/>
            <w:r w:rsidR="005901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638">
              <w:rPr>
                <w:rFonts w:ascii="Arial" w:hAnsi="Arial" w:cs="Arial"/>
                <w:sz w:val="20"/>
                <w:szCs w:val="20"/>
              </w:rPr>
              <w:t xml:space="preserve">alcohol/drug </w:t>
            </w:r>
            <w:r w:rsidR="00F43D38">
              <w:rPr>
                <w:rFonts w:ascii="Arial" w:hAnsi="Arial" w:cs="Arial"/>
                <w:sz w:val="20"/>
                <w:szCs w:val="20"/>
              </w:rPr>
              <w:t>dependencies and</w:t>
            </w:r>
            <w:r w:rsidR="00E919F4">
              <w:rPr>
                <w:rFonts w:ascii="Arial" w:hAnsi="Arial" w:cs="Arial"/>
                <w:sz w:val="20"/>
                <w:szCs w:val="20"/>
              </w:rPr>
              <w:t xml:space="preserve">/or those </w:t>
            </w:r>
            <w:r w:rsidR="00AB68C7">
              <w:rPr>
                <w:rFonts w:ascii="Arial" w:hAnsi="Arial" w:cs="Arial"/>
                <w:sz w:val="20"/>
                <w:szCs w:val="20"/>
              </w:rPr>
              <w:t xml:space="preserve">who have </w:t>
            </w:r>
            <w:proofErr w:type="gramStart"/>
            <w:r w:rsidR="00AB68C7">
              <w:rPr>
                <w:rFonts w:ascii="Arial" w:hAnsi="Arial" w:cs="Arial"/>
                <w:sz w:val="20"/>
                <w:szCs w:val="20"/>
              </w:rPr>
              <w:t>a severe</w:t>
            </w:r>
            <w:proofErr w:type="gramEnd"/>
            <w:r w:rsidR="00AB68C7">
              <w:rPr>
                <w:rFonts w:ascii="Arial" w:hAnsi="Arial" w:cs="Arial"/>
                <w:sz w:val="20"/>
                <w:szCs w:val="20"/>
              </w:rPr>
              <w:t xml:space="preserve"> mental health condition with current high support needs </w:t>
            </w:r>
            <w:r w:rsidR="00451271">
              <w:rPr>
                <w:rFonts w:ascii="Arial" w:hAnsi="Arial" w:cs="Arial"/>
                <w:sz w:val="20"/>
                <w:szCs w:val="20"/>
              </w:rPr>
              <w:t xml:space="preserve">shall be limited. </w:t>
            </w:r>
            <w:r w:rsidR="0059010C" w:rsidRPr="00667A72">
              <w:rPr>
                <w:rFonts w:ascii="Arial" w:hAnsi="Arial" w:cs="Arial"/>
                <w:sz w:val="20"/>
                <w:szCs w:val="20"/>
              </w:rPr>
              <w:t xml:space="preserve">This will </w:t>
            </w:r>
            <w:proofErr w:type="gramStart"/>
            <w:r w:rsidR="0059010C" w:rsidRPr="00667A72">
              <w:rPr>
                <w:rFonts w:ascii="Arial" w:hAnsi="Arial" w:cs="Arial"/>
                <w:sz w:val="20"/>
                <w:szCs w:val="20"/>
              </w:rPr>
              <w:t>determined</w:t>
            </w:r>
            <w:proofErr w:type="gramEnd"/>
            <w:r w:rsidR="0059010C" w:rsidRPr="00667A72">
              <w:rPr>
                <w:rFonts w:ascii="Arial" w:hAnsi="Arial" w:cs="Arial"/>
                <w:sz w:val="20"/>
                <w:szCs w:val="20"/>
              </w:rPr>
              <w:t xml:space="preserve"> as significant where it impacts on a resident’s ability to function independently</w:t>
            </w:r>
            <w:r w:rsidR="00667A72">
              <w:rPr>
                <w:rFonts w:ascii="Arial" w:hAnsi="Arial" w:cs="Arial"/>
                <w:sz w:val="20"/>
                <w:szCs w:val="20"/>
              </w:rPr>
              <w:t>,</w:t>
            </w:r>
            <w:r w:rsidR="0059010C" w:rsidRPr="00667A72">
              <w:rPr>
                <w:rFonts w:ascii="Arial" w:hAnsi="Arial" w:cs="Arial"/>
                <w:sz w:val="20"/>
                <w:szCs w:val="20"/>
              </w:rPr>
              <w:t xml:space="preserve"> day to day to sustain a tenancy, or where residents are not engaging with support services if this is needed to assist in </w:t>
            </w:r>
            <w:proofErr w:type="gramStart"/>
            <w:r w:rsidR="0059010C" w:rsidRPr="00667A72">
              <w:rPr>
                <w:rFonts w:ascii="Arial" w:hAnsi="Arial" w:cs="Arial"/>
                <w:sz w:val="20"/>
                <w:szCs w:val="20"/>
              </w:rPr>
              <w:t>a sustaining</w:t>
            </w:r>
            <w:proofErr w:type="gramEnd"/>
            <w:r w:rsidR="0059010C" w:rsidRPr="00667A72">
              <w:rPr>
                <w:rFonts w:ascii="Arial" w:hAnsi="Arial" w:cs="Arial"/>
                <w:sz w:val="20"/>
                <w:szCs w:val="20"/>
              </w:rPr>
              <w:t xml:space="preserve"> a tenancy. </w:t>
            </w:r>
            <w:r w:rsidR="00157688" w:rsidRPr="00667A72">
              <w:rPr>
                <w:rFonts w:ascii="Arial" w:hAnsi="Arial" w:cs="Arial"/>
                <w:sz w:val="20"/>
                <w:szCs w:val="20"/>
              </w:rPr>
              <w:t>Evidenced support plans must be in place prior to</w:t>
            </w:r>
            <w:r w:rsidR="0059010C" w:rsidRPr="00667A72">
              <w:rPr>
                <w:rFonts w:ascii="Arial" w:hAnsi="Arial" w:cs="Arial"/>
                <w:sz w:val="20"/>
                <w:szCs w:val="20"/>
              </w:rPr>
              <w:t xml:space="preserve"> offer</w:t>
            </w:r>
            <w:r w:rsidR="00157688" w:rsidRPr="00667A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42AF41" w14:textId="77777777" w:rsidR="009E36B4" w:rsidRPr="00667A72" w:rsidRDefault="009E36B4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F17359C" w14:textId="6ACC9D5B" w:rsidR="009E36B4" w:rsidRPr="0024230E" w:rsidRDefault="009E36B4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6F561DEF">
              <w:rPr>
                <w:rFonts w:ascii="Arial" w:hAnsi="Arial" w:cs="Arial"/>
                <w:sz w:val="20"/>
                <w:szCs w:val="20"/>
              </w:rPr>
              <w:t>For the purpose of</w:t>
            </w:r>
            <w:proofErr w:type="gramEnd"/>
            <w:r w:rsidRPr="6F561DEF">
              <w:rPr>
                <w:rFonts w:ascii="Arial" w:hAnsi="Arial" w:cs="Arial"/>
                <w:sz w:val="20"/>
                <w:szCs w:val="20"/>
              </w:rPr>
              <w:t xml:space="preserve"> the LLP</w:t>
            </w:r>
            <w:r w:rsidR="00667A72">
              <w:rPr>
                <w:rFonts w:ascii="Arial" w:hAnsi="Arial" w:cs="Arial"/>
                <w:sz w:val="20"/>
                <w:szCs w:val="20"/>
              </w:rPr>
              <w:t>,</w:t>
            </w:r>
            <w:r w:rsidRPr="6F561DEF">
              <w:rPr>
                <w:rFonts w:ascii="Arial" w:hAnsi="Arial" w:cs="Arial"/>
                <w:sz w:val="20"/>
                <w:szCs w:val="20"/>
              </w:rPr>
              <w:t xml:space="preserve"> the percentage of households fitting this </w:t>
            </w:r>
            <w:r w:rsidR="00094324" w:rsidRPr="6F561DEF">
              <w:rPr>
                <w:rFonts w:ascii="Arial" w:hAnsi="Arial" w:cs="Arial"/>
                <w:sz w:val="20"/>
                <w:szCs w:val="20"/>
              </w:rPr>
              <w:t>profile</w:t>
            </w:r>
            <w:r w:rsidRPr="6F561DEF">
              <w:rPr>
                <w:rFonts w:ascii="Arial" w:hAnsi="Arial" w:cs="Arial"/>
                <w:sz w:val="20"/>
                <w:szCs w:val="20"/>
              </w:rPr>
              <w:t xml:space="preserve"> should not exceed </w:t>
            </w:r>
            <w:r w:rsidR="00094324" w:rsidRPr="6F561DEF">
              <w:rPr>
                <w:rFonts w:ascii="Arial" w:hAnsi="Arial" w:cs="Arial"/>
                <w:sz w:val="20"/>
                <w:szCs w:val="20"/>
              </w:rPr>
              <w:t>1</w:t>
            </w:r>
            <w:r w:rsidR="715BBF91" w:rsidRPr="6F561DEF">
              <w:rPr>
                <w:rFonts w:ascii="Arial" w:hAnsi="Arial" w:cs="Arial"/>
                <w:sz w:val="20"/>
                <w:szCs w:val="20"/>
              </w:rPr>
              <w:t>0%</w:t>
            </w:r>
            <w:r w:rsidR="00094324" w:rsidRPr="6F561D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DA9BFD4" w:rsidRPr="6F561DEF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094324" w:rsidRPr="6F561DEF">
              <w:rPr>
                <w:rFonts w:ascii="Arial" w:hAnsi="Arial" w:cs="Arial"/>
                <w:sz w:val="20"/>
                <w:szCs w:val="20"/>
              </w:rPr>
              <w:t>household</w:t>
            </w:r>
            <w:r w:rsidR="0C04AB3F" w:rsidRPr="6F561DEF">
              <w:rPr>
                <w:rFonts w:ascii="Arial" w:hAnsi="Arial" w:cs="Arial"/>
                <w:sz w:val="20"/>
                <w:szCs w:val="20"/>
              </w:rPr>
              <w:t>s</w:t>
            </w:r>
            <w:r w:rsidR="00094324" w:rsidRPr="6F561DEF">
              <w:rPr>
                <w:rFonts w:ascii="Arial" w:hAnsi="Arial" w:cs="Arial"/>
                <w:sz w:val="20"/>
                <w:szCs w:val="20"/>
              </w:rPr>
              <w:t xml:space="preserve"> across all rented properties</w:t>
            </w:r>
            <w:r w:rsidR="00D02F49" w:rsidRPr="6F561DE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94324" w:rsidRPr="6F561DEF">
              <w:rPr>
                <w:rFonts w:ascii="Arial" w:hAnsi="Arial" w:cs="Arial"/>
                <w:sz w:val="20"/>
                <w:szCs w:val="20"/>
              </w:rPr>
              <w:t>MTVH reserve</w:t>
            </w:r>
            <w:r w:rsidR="00667A72">
              <w:rPr>
                <w:rFonts w:ascii="Arial" w:hAnsi="Arial" w:cs="Arial"/>
                <w:sz w:val="20"/>
                <w:szCs w:val="20"/>
              </w:rPr>
              <w:t>s</w:t>
            </w:r>
            <w:r w:rsidR="00094324" w:rsidRPr="6F561DEF">
              <w:rPr>
                <w:rFonts w:ascii="Arial" w:hAnsi="Arial" w:cs="Arial"/>
                <w:sz w:val="20"/>
                <w:szCs w:val="20"/>
              </w:rPr>
              <w:t xml:space="preserve"> the right to not offer accommodation </w:t>
            </w:r>
            <w:r w:rsidR="00D02F49" w:rsidRPr="6F561DEF">
              <w:rPr>
                <w:rFonts w:ascii="Arial" w:hAnsi="Arial" w:cs="Arial"/>
                <w:sz w:val="20"/>
                <w:szCs w:val="20"/>
              </w:rPr>
              <w:t>unless the applicant or household member is able to demonstrate</w:t>
            </w:r>
            <w:r w:rsidR="003F1176" w:rsidRPr="6F561DEF">
              <w:rPr>
                <w:rFonts w:ascii="Arial" w:hAnsi="Arial" w:cs="Arial"/>
                <w:sz w:val="20"/>
                <w:szCs w:val="20"/>
              </w:rPr>
              <w:t xml:space="preserve"> that they have regularly engaged with support services for more than 12 months and can evidence </w:t>
            </w:r>
            <w:r w:rsidR="007311E2" w:rsidRPr="6F561DEF">
              <w:rPr>
                <w:rFonts w:ascii="Arial" w:hAnsi="Arial" w:cs="Arial"/>
                <w:sz w:val="20"/>
                <w:szCs w:val="20"/>
              </w:rPr>
              <w:t xml:space="preserve">a change in </w:t>
            </w:r>
            <w:proofErr w:type="spellStart"/>
            <w:r w:rsidR="007311E2" w:rsidRPr="6F561DEF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="007311E2" w:rsidRPr="6F561DEF">
              <w:rPr>
                <w:rFonts w:ascii="Arial" w:hAnsi="Arial" w:cs="Arial"/>
                <w:sz w:val="20"/>
                <w:szCs w:val="20"/>
              </w:rPr>
              <w:t xml:space="preserve"> or that a plan for their ongoing care and support is in place.</w:t>
            </w:r>
          </w:p>
          <w:p w14:paraId="58F9CBDE" w14:textId="77777777" w:rsidR="004361CD" w:rsidRPr="004361CD" w:rsidRDefault="004361CD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98099AA" w14:textId="0D825A0F" w:rsidR="00930E48" w:rsidRPr="00930E48" w:rsidRDefault="00930E48" w:rsidP="007311E2">
            <w:pPr>
              <w:spacing w:after="160" w:line="259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0E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 general terms</w:t>
            </w:r>
          </w:p>
          <w:p w14:paraId="71523D72" w14:textId="6004F6E5" w:rsidR="00E97D31" w:rsidRPr="007311E2" w:rsidRDefault="00E97D31" w:rsidP="007311E2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11E2">
              <w:rPr>
                <w:rFonts w:ascii="Arial" w:eastAsia="Times New Roman" w:hAnsi="Arial" w:cs="Arial"/>
                <w:sz w:val="20"/>
                <w:szCs w:val="20"/>
              </w:rPr>
              <w:t>Initially, properties will generally be let on a Starter Tenancy for the first 12 months of their occupation.  Providing there are no issues or significant breaches of the tenancy, the agreement will be promoted to an assured tenancy.</w:t>
            </w:r>
          </w:p>
          <w:p w14:paraId="709D2D65" w14:textId="61CDBCA3" w:rsidR="00930E48" w:rsidRDefault="00930E48" w:rsidP="00930E4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minimum of </w:t>
            </w:r>
            <w:r w:rsidRPr="00930E48">
              <w:rPr>
                <w:rFonts w:ascii="Arial" w:hAnsi="Arial" w:cs="Arial"/>
                <w:sz w:val="20"/>
                <w:szCs w:val="20"/>
              </w:rPr>
              <w:t>50% of new homes will be let to applicants where at least one member of the household is in employment (min</w:t>
            </w:r>
            <w:r w:rsidR="00667A72">
              <w:rPr>
                <w:rFonts w:ascii="Arial" w:hAnsi="Arial" w:cs="Arial"/>
                <w:sz w:val="20"/>
                <w:szCs w:val="20"/>
              </w:rPr>
              <w:t>imum</w:t>
            </w:r>
            <w:r w:rsidRPr="00930E48">
              <w:rPr>
                <w:rFonts w:ascii="Arial" w:hAnsi="Arial" w:cs="Arial"/>
                <w:sz w:val="20"/>
                <w:szCs w:val="20"/>
              </w:rPr>
              <w:t xml:space="preserve"> 16 hours and long-term contract)</w:t>
            </w:r>
            <w:r w:rsidR="00667A72">
              <w:rPr>
                <w:rFonts w:ascii="Arial" w:hAnsi="Arial" w:cs="Arial"/>
                <w:sz w:val="20"/>
                <w:szCs w:val="20"/>
              </w:rPr>
              <w:t>.</w:t>
            </w:r>
            <w:r w:rsidRPr="00930E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9906A9" w14:textId="25B01EE0" w:rsidR="00E97D31" w:rsidRPr="0095738D" w:rsidRDefault="00E97D31" w:rsidP="00055F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General eligibility will be determined in accordance with the Council’s Allocations Policy and MTVH’s </w:t>
            </w:r>
            <w:r w:rsidR="00055F73">
              <w:rPr>
                <w:rFonts w:ascii="Arial" w:hAnsi="Arial" w:cs="Arial"/>
                <w:sz w:val="20"/>
                <w:szCs w:val="20"/>
              </w:rPr>
              <w:t>Allocations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Policy. </w:t>
            </w:r>
          </w:p>
          <w:p w14:paraId="3015776B" w14:textId="77777777" w:rsidR="00E97D31" w:rsidRPr="00CE30C9" w:rsidRDefault="00E97D31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2931205" w14:textId="77777777" w:rsidR="00E97D31" w:rsidRDefault="00E97D31" w:rsidP="00055F7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CE30C9">
              <w:rPr>
                <w:rFonts w:ascii="Arial" w:eastAsia="Times New Roman" w:hAnsi="Arial" w:cs="Arial"/>
                <w:sz w:val="20"/>
                <w:szCs w:val="20"/>
              </w:rPr>
              <w:t>All applicants 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ill</w:t>
            </w:r>
            <w:r w:rsidRPr="00CE30C9">
              <w:rPr>
                <w:rFonts w:ascii="Arial" w:eastAsia="Times New Roman" w:hAnsi="Arial" w:cs="Arial"/>
                <w:sz w:val="20"/>
                <w:szCs w:val="20"/>
              </w:rPr>
              <w:t xml:space="preserve"> be assessed to ensure they meet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MTVH’s</w:t>
            </w:r>
            <w:r w:rsidRPr="00CE30C9">
              <w:rPr>
                <w:rFonts w:ascii="Arial" w:eastAsia="Times New Roman" w:hAnsi="Arial" w:cs="Arial"/>
                <w:sz w:val="20"/>
                <w:szCs w:val="20"/>
              </w:rPr>
              <w:t xml:space="preserve"> affordability criteria.</w:t>
            </w:r>
          </w:p>
          <w:p w14:paraId="10BB00EE" w14:textId="6EEC1C9A" w:rsidR="2E2EA700" w:rsidRDefault="2E2EA700" w:rsidP="2E2EA700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208CB8" w14:textId="77777777" w:rsidR="00E97D31" w:rsidRDefault="00E97D31" w:rsidP="00846ECC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The BME composition of nominated applicants will be monitored to ensure that the mix broadly reflects that of the wider local authority area. </w:t>
            </w:r>
          </w:p>
          <w:p w14:paraId="52C35917" w14:textId="77777777" w:rsidR="00E97D31" w:rsidRPr="00CE30C9" w:rsidRDefault="00E97D31" w:rsidP="008D135B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F94C74" w14:textId="7CDDA663" w:rsidR="00E97D31" w:rsidRPr="00CE30C9" w:rsidRDefault="00E97D31" w:rsidP="008D135B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7D31" w14:paraId="176BDFC8" w14:textId="77777777" w:rsidTr="6F561DEF">
        <w:tc>
          <w:tcPr>
            <w:tcW w:w="2122" w:type="dxa"/>
          </w:tcPr>
          <w:p w14:paraId="5BE7FCEC" w14:textId="77777777" w:rsidR="00E97D31" w:rsidRPr="00CE30C9" w:rsidRDefault="00E97D31" w:rsidP="008D135B">
            <w:pPr>
              <w:rPr>
                <w:rFonts w:ascii="Arial" w:hAnsi="Arial" w:cs="Arial"/>
                <w:sz w:val="20"/>
                <w:szCs w:val="20"/>
              </w:rPr>
            </w:pPr>
            <w:r w:rsidRPr="00CE30C9">
              <w:rPr>
                <w:rFonts w:ascii="Arial" w:hAnsi="Arial" w:cs="Arial"/>
                <w:sz w:val="20"/>
                <w:szCs w:val="20"/>
              </w:rPr>
              <w:lastRenderedPageBreak/>
              <w:t>Duration of local lettings plan</w:t>
            </w:r>
          </w:p>
        </w:tc>
        <w:tc>
          <w:tcPr>
            <w:tcW w:w="6894" w:type="dxa"/>
          </w:tcPr>
          <w:p w14:paraId="6DDECD03" w14:textId="24AEDBE8" w:rsidR="00E97D31" w:rsidRPr="00CE30C9" w:rsidRDefault="00E97D31" w:rsidP="008D13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E30C9">
              <w:rPr>
                <w:rFonts w:ascii="Arial" w:hAnsi="Arial" w:cs="Arial"/>
                <w:sz w:val="20"/>
                <w:szCs w:val="20"/>
              </w:rPr>
              <w:t>First and subsequent re</w:t>
            </w:r>
            <w:r w:rsidR="00D33482">
              <w:rPr>
                <w:rFonts w:ascii="Arial" w:hAnsi="Arial" w:cs="Arial"/>
                <w:sz w:val="20"/>
                <w:szCs w:val="20"/>
              </w:rPr>
              <w:t>-</w:t>
            </w:r>
            <w:r w:rsidRPr="00CE30C9">
              <w:rPr>
                <w:rFonts w:ascii="Arial" w:hAnsi="Arial" w:cs="Arial"/>
                <w:sz w:val="20"/>
                <w:szCs w:val="20"/>
              </w:rPr>
              <w:t xml:space="preserve">lets for a period of </w:t>
            </w:r>
            <w:r w:rsidR="00D87478">
              <w:rPr>
                <w:rFonts w:ascii="Arial" w:hAnsi="Arial" w:cs="Arial"/>
                <w:sz w:val="20"/>
                <w:szCs w:val="20"/>
              </w:rPr>
              <w:t>5 years</w:t>
            </w:r>
            <w:r w:rsidR="007E1DA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7E79724" w14:textId="77777777" w:rsidR="00E97D31" w:rsidRPr="00E97D31" w:rsidRDefault="00E97D31" w:rsidP="00E97D31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</w:p>
    <w:sectPr w:rsidR="00E97D31" w:rsidRPr="00E97D31" w:rsidSect="00CC555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6C64" w14:textId="77777777" w:rsidR="008D4203" w:rsidRDefault="008D4203" w:rsidP="00CC555F">
      <w:pPr>
        <w:spacing w:after="0" w:line="240" w:lineRule="auto"/>
      </w:pPr>
      <w:r>
        <w:separator/>
      </w:r>
    </w:p>
  </w:endnote>
  <w:endnote w:type="continuationSeparator" w:id="0">
    <w:p w14:paraId="2EAF5828" w14:textId="77777777" w:rsidR="008D4203" w:rsidRDefault="008D4203" w:rsidP="00CC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64383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CB792" w14:textId="77777777" w:rsidR="00CC555F" w:rsidRPr="00CC555F" w:rsidRDefault="00CC555F">
        <w:pPr>
          <w:pStyle w:val="Footer"/>
          <w:jc w:val="right"/>
          <w:rPr>
            <w:rFonts w:ascii="Arial" w:hAnsi="Arial" w:cs="Arial"/>
            <w:sz w:val="20"/>
          </w:rPr>
        </w:pPr>
        <w:r w:rsidRPr="00CC555F">
          <w:rPr>
            <w:rFonts w:ascii="Arial" w:hAnsi="Arial" w:cs="Arial"/>
            <w:sz w:val="20"/>
          </w:rPr>
          <w:fldChar w:fldCharType="begin"/>
        </w:r>
        <w:r w:rsidRPr="00CC555F">
          <w:rPr>
            <w:rFonts w:ascii="Arial" w:hAnsi="Arial" w:cs="Arial"/>
            <w:sz w:val="20"/>
          </w:rPr>
          <w:instrText xml:space="preserve"> PAGE   \* MERGEFORMAT </w:instrText>
        </w:r>
        <w:r w:rsidRPr="00CC555F">
          <w:rPr>
            <w:rFonts w:ascii="Arial" w:hAnsi="Arial" w:cs="Arial"/>
            <w:sz w:val="20"/>
          </w:rPr>
          <w:fldChar w:fldCharType="separate"/>
        </w:r>
        <w:r w:rsidR="00924182">
          <w:rPr>
            <w:rFonts w:ascii="Arial" w:hAnsi="Arial" w:cs="Arial"/>
            <w:noProof/>
            <w:sz w:val="20"/>
          </w:rPr>
          <w:t>2</w:t>
        </w:r>
        <w:r w:rsidRPr="00CC555F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1C1B11EA" w14:textId="77777777" w:rsidR="00CC555F" w:rsidRDefault="00CC5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813062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79FF8" w14:textId="77777777" w:rsidR="00CC555F" w:rsidRPr="00CC555F" w:rsidRDefault="00CC555F" w:rsidP="00AF705D">
        <w:pPr>
          <w:pStyle w:val="Footer"/>
          <w:jc w:val="center"/>
          <w:rPr>
            <w:rFonts w:ascii="Arial" w:hAnsi="Arial" w:cs="Arial"/>
            <w:sz w:val="20"/>
          </w:rPr>
        </w:pPr>
        <w:r w:rsidRPr="00CC555F">
          <w:rPr>
            <w:rFonts w:ascii="Arial" w:hAnsi="Arial" w:cs="Arial"/>
            <w:sz w:val="20"/>
          </w:rPr>
          <w:fldChar w:fldCharType="begin"/>
        </w:r>
        <w:r w:rsidRPr="00CC555F">
          <w:rPr>
            <w:rFonts w:ascii="Arial" w:hAnsi="Arial" w:cs="Arial"/>
            <w:sz w:val="20"/>
          </w:rPr>
          <w:instrText xml:space="preserve"> PAGE   \* MERGEFORMAT </w:instrText>
        </w:r>
        <w:r w:rsidRPr="00CC555F">
          <w:rPr>
            <w:rFonts w:ascii="Arial" w:hAnsi="Arial" w:cs="Arial"/>
            <w:sz w:val="20"/>
          </w:rPr>
          <w:fldChar w:fldCharType="separate"/>
        </w:r>
        <w:r w:rsidR="00924182">
          <w:rPr>
            <w:rFonts w:ascii="Arial" w:hAnsi="Arial" w:cs="Arial"/>
            <w:noProof/>
            <w:sz w:val="20"/>
          </w:rPr>
          <w:t>1</w:t>
        </w:r>
        <w:r w:rsidRPr="00CC555F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25B0D758" w14:textId="77777777" w:rsidR="00CC555F" w:rsidRDefault="00CC5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D414" w14:textId="77777777" w:rsidR="008D4203" w:rsidRDefault="008D4203" w:rsidP="00CC555F">
      <w:pPr>
        <w:spacing w:after="0" w:line="240" w:lineRule="auto"/>
      </w:pPr>
      <w:r>
        <w:separator/>
      </w:r>
    </w:p>
  </w:footnote>
  <w:footnote w:type="continuationSeparator" w:id="0">
    <w:p w14:paraId="61E37642" w14:textId="77777777" w:rsidR="008D4203" w:rsidRDefault="008D4203" w:rsidP="00CC5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941B" w14:textId="77777777" w:rsidR="004D40B1" w:rsidRDefault="00924182">
    <w:pPr>
      <w:pStyle w:val="Header"/>
    </w:pPr>
    <w:r>
      <w:rPr>
        <w:noProof/>
        <w:sz w:val="28"/>
      </w:rPr>
      <w:drawing>
        <wp:anchor distT="0" distB="0" distL="114300" distR="114300" simplePos="0" relativeHeight="251665408" behindDoc="0" locked="0" layoutInCell="1" allowOverlap="1" wp14:anchorId="2B5172AD" wp14:editId="6EA91EA0">
          <wp:simplePos x="0" y="0"/>
          <wp:positionH relativeFrom="column">
            <wp:posOffset>0</wp:posOffset>
          </wp:positionH>
          <wp:positionV relativeFrom="paragraph">
            <wp:posOffset>162560</wp:posOffset>
          </wp:positionV>
          <wp:extent cx="1496060" cy="498475"/>
          <wp:effectExtent l="0" t="0" r="889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VHA - jpeg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7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8"/>
      <w:gridCol w:w="3008"/>
      <w:gridCol w:w="3503"/>
    </w:tblGrid>
    <w:tr w:rsidR="00CC555F" w14:paraId="5E4E9F36" w14:textId="77777777" w:rsidTr="00FD2C75">
      <w:tc>
        <w:tcPr>
          <w:tcW w:w="1580" w:type="pct"/>
        </w:tcPr>
        <w:p w14:paraId="51D16C04" w14:textId="77777777" w:rsidR="00CC555F" w:rsidRDefault="00CC555F" w:rsidP="00FD2C75">
          <w:pPr>
            <w:rPr>
              <w:sz w:val="28"/>
            </w:rPr>
          </w:pPr>
          <w:r>
            <w:rPr>
              <w:noProof/>
              <w:sz w:val="28"/>
            </w:rPr>
            <w:drawing>
              <wp:anchor distT="0" distB="0" distL="114300" distR="114300" simplePos="0" relativeHeight="251663360" behindDoc="0" locked="0" layoutInCell="1" allowOverlap="1" wp14:anchorId="6908E0C6" wp14:editId="14A4077D">
                <wp:simplePos x="0" y="0"/>
                <wp:positionH relativeFrom="column">
                  <wp:posOffset>61595</wp:posOffset>
                </wp:positionH>
                <wp:positionV relativeFrom="paragraph">
                  <wp:posOffset>15875</wp:posOffset>
                </wp:positionV>
                <wp:extent cx="1496060" cy="498475"/>
                <wp:effectExtent l="0" t="0" r="8890" b="0"/>
                <wp:wrapTopAndBottom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VHA - jpeg 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060" cy="498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80" w:type="pct"/>
        </w:tcPr>
        <w:p w14:paraId="6A29AFAA" w14:textId="77777777" w:rsidR="00CC555F" w:rsidRDefault="00CC555F" w:rsidP="00FD2C75">
          <w:pPr>
            <w:jc w:val="center"/>
            <w:rPr>
              <w:sz w:val="28"/>
            </w:rPr>
          </w:pPr>
        </w:p>
      </w:tc>
      <w:tc>
        <w:tcPr>
          <w:tcW w:w="1840" w:type="pct"/>
        </w:tcPr>
        <w:p w14:paraId="5C450145" w14:textId="77777777" w:rsidR="00CC555F" w:rsidRDefault="00CC555F" w:rsidP="00FD2C75">
          <w:pPr>
            <w:jc w:val="center"/>
            <w:rPr>
              <w:sz w:val="28"/>
            </w:rPr>
          </w:pPr>
        </w:p>
      </w:tc>
    </w:tr>
  </w:tbl>
  <w:p w14:paraId="093ED115" w14:textId="77777777" w:rsidR="00CC555F" w:rsidRDefault="00CC5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A9"/>
    <w:multiLevelType w:val="hybridMultilevel"/>
    <w:tmpl w:val="F5184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85FA0"/>
    <w:multiLevelType w:val="hybridMultilevel"/>
    <w:tmpl w:val="6C241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331B6"/>
    <w:multiLevelType w:val="hybridMultilevel"/>
    <w:tmpl w:val="9CC01D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175EE"/>
    <w:multiLevelType w:val="multilevel"/>
    <w:tmpl w:val="04EAC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2955A9F"/>
    <w:multiLevelType w:val="hybridMultilevel"/>
    <w:tmpl w:val="A2E6F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636654">
    <w:abstractNumId w:val="3"/>
  </w:num>
  <w:num w:numId="2" w16cid:durableId="668869716">
    <w:abstractNumId w:val="2"/>
  </w:num>
  <w:num w:numId="3" w16cid:durableId="640616878">
    <w:abstractNumId w:val="0"/>
  </w:num>
  <w:num w:numId="4" w16cid:durableId="995381083">
    <w:abstractNumId w:val="1"/>
  </w:num>
  <w:num w:numId="5" w16cid:durableId="1852640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B4"/>
    <w:rsid w:val="00002FCA"/>
    <w:rsid w:val="00004A3E"/>
    <w:rsid w:val="00055F73"/>
    <w:rsid w:val="00063BFC"/>
    <w:rsid w:val="0008657B"/>
    <w:rsid w:val="00091AAB"/>
    <w:rsid w:val="00094324"/>
    <w:rsid w:val="000A6E24"/>
    <w:rsid w:val="000E07A4"/>
    <w:rsid w:val="0011093F"/>
    <w:rsid w:val="00115265"/>
    <w:rsid w:val="00115D69"/>
    <w:rsid w:val="0012358C"/>
    <w:rsid w:val="00124AEC"/>
    <w:rsid w:val="001259A4"/>
    <w:rsid w:val="001412BB"/>
    <w:rsid w:val="00157688"/>
    <w:rsid w:val="00163368"/>
    <w:rsid w:val="001B5588"/>
    <w:rsid w:val="00212916"/>
    <w:rsid w:val="0024230E"/>
    <w:rsid w:val="00274A5A"/>
    <w:rsid w:val="0027720B"/>
    <w:rsid w:val="002E6754"/>
    <w:rsid w:val="003448AE"/>
    <w:rsid w:val="00363C55"/>
    <w:rsid w:val="003659B5"/>
    <w:rsid w:val="00377108"/>
    <w:rsid w:val="003859B4"/>
    <w:rsid w:val="003906DA"/>
    <w:rsid w:val="00391DE6"/>
    <w:rsid w:val="003D38F7"/>
    <w:rsid w:val="003D5504"/>
    <w:rsid w:val="003D72DB"/>
    <w:rsid w:val="003F1176"/>
    <w:rsid w:val="004361CD"/>
    <w:rsid w:val="00451271"/>
    <w:rsid w:val="00471C71"/>
    <w:rsid w:val="00481448"/>
    <w:rsid w:val="0048198C"/>
    <w:rsid w:val="00485097"/>
    <w:rsid w:val="004A2E6C"/>
    <w:rsid w:val="004C70C4"/>
    <w:rsid w:val="004D40B1"/>
    <w:rsid w:val="00503018"/>
    <w:rsid w:val="0050691D"/>
    <w:rsid w:val="00533237"/>
    <w:rsid w:val="00535CF5"/>
    <w:rsid w:val="00542877"/>
    <w:rsid w:val="005525D7"/>
    <w:rsid w:val="00557286"/>
    <w:rsid w:val="005607E6"/>
    <w:rsid w:val="00560879"/>
    <w:rsid w:val="00581BB8"/>
    <w:rsid w:val="0059010C"/>
    <w:rsid w:val="005A77B8"/>
    <w:rsid w:val="005B20FA"/>
    <w:rsid w:val="0063040E"/>
    <w:rsid w:val="00640ED9"/>
    <w:rsid w:val="00661713"/>
    <w:rsid w:val="00667A72"/>
    <w:rsid w:val="006B22CE"/>
    <w:rsid w:val="006D1071"/>
    <w:rsid w:val="006E1490"/>
    <w:rsid w:val="006F4940"/>
    <w:rsid w:val="00717A6E"/>
    <w:rsid w:val="007262FC"/>
    <w:rsid w:val="007311E2"/>
    <w:rsid w:val="00773D5C"/>
    <w:rsid w:val="00793D4B"/>
    <w:rsid w:val="007C5863"/>
    <w:rsid w:val="007C6469"/>
    <w:rsid w:val="007D79C3"/>
    <w:rsid w:val="007E1DA7"/>
    <w:rsid w:val="007E5B69"/>
    <w:rsid w:val="00846ECC"/>
    <w:rsid w:val="008857F2"/>
    <w:rsid w:val="008944DD"/>
    <w:rsid w:val="008B1EE7"/>
    <w:rsid w:val="008C0376"/>
    <w:rsid w:val="008C3291"/>
    <w:rsid w:val="008C7541"/>
    <w:rsid w:val="008D4203"/>
    <w:rsid w:val="008D7A94"/>
    <w:rsid w:val="008E2667"/>
    <w:rsid w:val="00920F29"/>
    <w:rsid w:val="00924182"/>
    <w:rsid w:val="00930E48"/>
    <w:rsid w:val="0093544F"/>
    <w:rsid w:val="00943A35"/>
    <w:rsid w:val="00962D9A"/>
    <w:rsid w:val="0096586A"/>
    <w:rsid w:val="009733CD"/>
    <w:rsid w:val="009B24BF"/>
    <w:rsid w:val="009C0050"/>
    <w:rsid w:val="009C0ED1"/>
    <w:rsid w:val="009E36B4"/>
    <w:rsid w:val="009F09DE"/>
    <w:rsid w:val="009F6C3D"/>
    <w:rsid w:val="00A01B6A"/>
    <w:rsid w:val="00A231F9"/>
    <w:rsid w:val="00A816BE"/>
    <w:rsid w:val="00A930F8"/>
    <w:rsid w:val="00A93DCC"/>
    <w:rsid w:val="00AB68C7"/>
    <w:rsid w:val="00AC48FF"/>
    <w:rsid w:val="00AC4EBF"/>
    <w:rsid w:val="00AF49FE"/>
    <w:rsid w:val="00AF705D"/>
    <w:rsid w:val="00B01BE0"/>
    <w:rsid w:val="00B02638"/>
    <w:rsid w:val="00B60D2D"/>
    <w:rsid w:val="00B87173"/>
    <w:rsid w:val="00BA2673"/>
    <w:rsid w:val="00BE1164"/>
    <w:rsid w:val="00C520BC"/>
    <w:rsid w:val="00C87002"/>
    <w:rsid w:val="00CC1054"/>
    <w:rsid w:val="00CC38DB"/>
    <w:rsid w:val="00CC555F"/>
    <w:rsid w:val="00D02F49"/>
    <w:rsid w:val="00D33482"/>
    <w:rsid w:val="00D87478"/>
    <w:rsid w:val="00DA0CDA"/>
    <w:rsid w:val="00DC2C62"/>
    <w:rsid w:val="00E139DB"/>
    <w:rsid w:val="00E46967"/>
    <w:rsid w:val="00E56767"/>
    <w:rsid w:val="00E919F4"/>
    <w:rsid w:val="00E922CD"/>
    <w:rsid w:val="00E97D31"/>
    <w:rsid w:val="00EC48E0"/>
    <w:rsid w:val="00EC50CF"/>
    <w:rsid w:val="00F071FD"/>
    <w:rsid w:val="00F25F13"/>
    <w:rsid w:val="00F43D38"/>
    <w:rsid w:val="00F6360E"/>
    <w:rsid w:val="00F71EA7"/>
    <w:rsid w:val="00F72346"/>
    <w:rsid w:val="00F962AF"/>
    <w:rsid w:val="00FC37BD"/>
    <w:rsid w:val="00FF5736"/>
    <w:rsid w:val="080B34D4"/>
    <w:rsid w:val="0C04AB3F"/>
    <w:rsid w:val="2E2EA700"/>
    <w:rsid w:val="6F561DEF"/>
    <w:rsid w:val="715BBF91"/>
    <w:rsid w:val="7DA9B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7885A"/>
  <w15:docId w15:val="{9485E613-C623-412D-963E-22A80A66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55F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555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C555F"/>
    <w:pPr>
      <w:ind w:left="720"/>
      <w:contextualSpacing/>
    </w:pPr>
  </w:style>
  <w:style w:type="table" w:styleId="TableGrid">
    <w:name w:val="Table Grid"/>
    <w:basedOn w:val="TableNormal"/>
    <w:uiPriority w:val="39"/>
    <w:rsid w:val="00CC555F"/>
    <w:pPr>
      <w:spacing w:after="0" w:line="240" w:lineRule="auto"/>
    </w:pPr>
    <w:rPr>
      <w:rFonts w:eastAsiaTheme="minorEastAsia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55F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C5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55F"/>
    <w:rPr>
      <w:rFonts w:eastAsiaTheme="minorEastAsia"/>
      <w:lang w:eastAsia="en-GB"/>
    </w:rPr>
  </w:style>
  <w:style w:type="paragraph" w:styleId="NoSpacing">
    <w:name w:val="No Spacing"/>
    <w:uiPriority w:val="1"/>
    <w:qFormat/>
    <w:rsid w:val="00E97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5E17B76C14D8D5BF8859A065FB7" ma:contentTypeVersion="15" ma:contentTypeDescription="Create a new document." ma:contentTypeScope="" ma:versionID="addaeebd0525d86bdf75bba2ef3f1293">
  <xsd:schema xmlns:xsd="http://www.w3.org/2001/XMLSchema" xmlns:xs="http://www.w3.org/2001/XMLSchema" xmlns:p="http://schemas.microsoft.com/office/2006/metadata/properties" xmlns:ns2="c3937272-68e1-4a2a-ac1a-618f7e355244" xmlns:ns3="4fbbb232-105f-4461-be2e-0e4ed05ad88e" targetNamespace="http://schemas.microsoft.com/office/2006/metadata/properties" ma:root="true" ma:fieldsID="2245b88998e33ede4c958c1f1ebffb3c" ns2:_="" ns3:_="">
    <xsd:import namespace="c3937272-68e1-4a2a-ac1a-618f7e355244"/>
    <xsd:import namespace="4fbbb232-105f-4461-be2e-0e4ed05ad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37272-68e1-4a2a-ac1a-618f7e3552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a8603b-e45c-4a10-9912-67311618d41d}" ma:internalName="TaxCatchAll" ma:showField="CatchAllData" ma:web="c3937272-68e1-4a2a-ac1a-618f7e355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bb232-105f-4461-be2e-0e4ed05ad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83cbbd-a783-441d-b37d-705de99b5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937272-68e1-4a2a-ac1a-618f7e355244" xsi:nil="true"/>
    <lcf76f155ced4ddcb4097134ff3c332f xmlns="4fbbb232-105f-4461-be2e-0e4ed05ad8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C501AE-7392-4B77-A308-0292B84BF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6B3CC-4BF7-4460-A561-33676A910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37272-68e1-4a2a-ac1a-618f7e355244"/>
    <ds:schemaRef ds:uri="4fbbb232-105f-4461-be2e-0e4ed05ad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1D3454-6D4A-4D16-9725-F69CE5E937A0}">
  <ds:schemaRefs>
    <ds:schemaRef ds:uri="http://schemas.microsoft.com/office/2006/metadata/properties"/>
    <ds:schemaRef ds:uri="http://schemas.microsoft.com/office/infopath/2007/PartnerControls"/>
    <ds:schemaRef ds:uri="c3937272-68e1-4a2a-ac1a-618f7e355244"/>
    <ds:schemaRef ds:uri="4fbbb232-105f-4461-be2e-0e4ed05ad88e"/>
  </ds:schemaRefs>
</ds:datastoreItem>
</file>

<file path=docMetadata/LabelInfo.xml><?xml version="1.0" encoding="utf-8"?>
<clbl:labelList xmlns:clbl="http://schemas.microsoft.com/office/2020/mipLabelMetadata">
  <clbl:label id="{ab573529-ede7-4d11-8ef4-3bd249b16fc7}" enabled="0" method="" siteId="{ab573529-ede7-4d11-8ef4-3bd249b16f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TVHA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 Etter</dc:creator>
  <cp:lastModifiedBy>Phil.Warrington</cp:lastModifiedBy>
  <cp:revision>2</cp:revision>
  <dcterms:created xsi:type="dcterms:W3CDTF">2025-09-29T07:22:00Z</dcterms:created>
  <dcterms:modified xsi:type="dcterms:W3CDTF">2025-09-29T07:22:00Z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0x0101004F2855E17B76C14D8D5BF8859A065FB7</vt:lpwstr>
  </property>
  <property fmtid="{D5CDD505-2E9C-101B-9397-08002B2CF9AE}" pid="3" name="MediaServiceImageTags">
    <vt:lpwstr/>
  </property>
</Properties>
</file>